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704B7F03" w:rsidR="00D618B3" w:rsidRPr="00A64040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64040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2026-18124-</w:t>
      </w:r>
      <w:r w:rsidR="003D150E">
        <w:rPr>
          <w:rFonts w:asciiTheme="majorHAnsi" w:hAnsiTheme="majorHAnsi" w:cstheme="majorHAnsi"/>
          <w:b/>
          <w:sz w:val="24"/>
          <w:szCs w:val="24"/>
        </w:rPr>
        <w:t>275623</w:t>
      </w:r>
      <w:bookmarkStart w:id="0" w:name="_GoBack"/>
      <w:bookmarkEnd w:id="0"/>
      <w:r w:rsidR="00B471CE" w:rsidRPr="00A640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z 0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4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114622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176CF240" w14:textId="77777777" w:rsidR="00A277C1" w:rsidRPr="00A277C1" w:rsidRDefault="00A277C1" w:rsidP="00A277C1">
      <w:pPr>
        <w:rPr>
          <w:rFonts w:asciiTheme="majorHAnsi" w:hAnsiTheme="majorHAnsi" w:cstheme="majorHAnsi"/>
          <w:b/>
          <w:sz w:val="20"/>
          <w:szCs w:val="20"/>
        </w:rPr>
      </w:pPr>
      <w:r w:rsidRPr="00A277C1">
        <w:rPr>
          <w:rFonts w:asciiTheme="majorHAnsi" w:hAnsiTheme="majorHAnsi" w:cstheme="majorHAnsi"/>
          <w:b/>
          <w:sz w:val="20"/>
          <w:szCs w:val="20"/>
        </w:rPr>
        <w:t xml:space="preserve">Cement portlandzki </w:t>
      </w:r>
    </w:p>
    <w:p w14:paraId="499650D3" w14:textId="77777777" w:rsidR="00A277C1" w:rsidRPr="00A277C1" w:rsidRDefault="00A277C1" w:rsidP="00A277C1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A277C1">
        <w:rPr>
          <w:rFonts w:asciiTheme="majorHAnsi" w:hAnsiTheme="majorHAnsi" w:cstheme="majorHAnsi"/>
          <w:sz w:val="20"/>
          <w:szCs w:val="20"/>
          <w:u w:val="single"/>
        </w:rPr>
        <w:t>Opis ogólny:</w:t>
      </w:r>
    </w:p>
    <w:p w14:paraId="26A784BF" w14:textId="77777777" w:rsidR="00A277C1" w:rsidRPr="00A277C1" w:rsidRDefault="00A277C1" w:rsidP="00A277C1">
      <w:pPr>
        <w:rPr>
          <w:rFonts w:asciiTheme="majorHAnsi" w:hAnsiTheme="majorHAnsi" w:cstheme="majorHAnsi"/>
          <w:sz w:val="20"/>
          <w:szCs w:val="20"/>
        </w:rPr>
      </w:pPr>
      <w:r w:rsidRPr="00A277C1">
        <w:rPr>
          <w:rFonts w:asciiTheme="majorHAnsi" w:hAnsiTheme="majorHAnsi" w:cstheme="majorHAnsi"/>
          <w:sz w:val="20"/>
          <w:szCs w:val="20"/>
        </w:rPr>
        <w:t>Cement portlandzki CEM II/A-M (S-LL) 52,5R  do produkcji betonu</w:t>
      </w:r>
    </w:p>
    <w:p w14:paraId="039C61EA" w14:textId="77777777" w:rsidR="00A277C1" w:rsidRPr="00A277C1" w:rsidRDefault="00A277C1" w:rsidP="00A277C1">
      <w:pPr>
        <w:rPr>
          <w:rFonts w:asciiTheme="majorHAnsi" w:hAnsiTheme="majorHAnsi" w:cstheme="majorHAnsi"/>
          <w:sz w:val="20"/>
          <w:szCs w:val="20"/>
        </w:rPr>
      </w:pPr>
      <w:r w:rsidRPr="00A277C1">
        <w:rPr>
          <w:rFonts w:asciiTheme="majorHAnsi" w:hAnsiTheme="majorHAnsi" w:cstheme="majorHAnsi"/>
          <w:sz w:val="20"/>
          <w:szCs w:val="20"/>
          <w:u w:val="single"/>
        </w:rPr>
        <w:t>Wielkość zamówienie:</w:t>
      </w:r>
      <w:r w:rsidRPr="00A277C1">
        <w:rPr>
          <w:rFonts w:asciiTheme="majorHAnsi" w:hAnsiTheme="majorHAnsi" w:cstheme="majorHAnsi"/>
          <w:sz w:val="20"/>
          <w:szCs w:val="20"/>
        </w:rPr>
        <w:t xml:space="preserve"> 44 ton</w:t>
      </w:r>
    </w:p>
    <w:p w14:paraId="21650F46" w14:textId="77777777" w:rsidR="00A277C1" w:rsidRPr="00A277C1" w:rsidRDefault="00A277C1" w:rsidP="00A277C1">
      <w:pPr>
        <w:rPr>
          <w:rFonts w:asciiTheme="majorHAnsi" w:hAnsiTheme="majorHAnsi" w:cstheme="majorHAnsi"/>
          <w:sz w:val="20"/>
          <w:szCs w:val="20"/>
          <w:u w:val="single"/>
        </w:rPr>
      </w:pPr>
      <w:r w:rsidRPr="00A277C1">
        <w:rPr>
          <w:rFonts w:asciiTheme="majorHAnsi" w:hAnsiTheme="majorHAnsi" w:cstheme="majorHAnsi"/>
          <w:sz w:val="20"/>
          <w:szCs w:val="20"/>
          <w:u w:val="single"/>
        </w:rPr>
        <w:t>Wartości użytkowe: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30"/>
        <w:gridCol w:w="4329"/>
        <w:gridCol w:w="1901"/>
      </w:tblGrid>
      <w:tr w:rsidR="00A277C1" w:rsidRPr="00A277C1" w14:paraId="587E34D4" w14:textId="77777777" w:rsidTr="00D82890">
        <w:tc>
          <w:tcPr>
            <w:tcW w:w="1562" w:type="pct"/>
          </w:tcPr>
          <w:p w14:paraId="3D07ABEC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Zasadnicze charakterystyki</w:t>
            </w:r>
          </w:p>
        </w:tc>
        <w:tc>
          <w:tcPr>
            <w:tcW w:w="2389" w:type="pct"/>
          </w:tcPr>
          <w:p w14:paraId="6A5B5F1D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Właściwości użytkowe</w:t>
            </w:r>
          </w:p>
        </w:tc>
        <w:tc>
          <w:tcPr>
            <w:tcW w:w="1050" w:type="pct"/>
          </w:tcPr>
          <w:p w14:paraId="4E5CC855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Zharmonizowana specyfikacja techniczna </w:t>
            </w:r>
          </w:p>
        </w:tc>
      </w:tr>
      <w:tr w:rsidR="00A277C1" w:rsidRPr="00A277C1" w14:paraId="254DE408" w14:textId="77777777" w:rsidTr="00D82890">
        <w:tc>
          <w:tcPr>
            <w:tcW w:w="1562" w:type="pct"/>
          </w:tcPr>
          <w:p w14:paraId="7CBD7B95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Cement powszechnego użytku (</w:t>
            </w:r>
            <w:proofErr w:type="spellStart"/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subrodziny</w:t>
            </w:r>
            <w:proofErr w:type="spellEnd"/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) skład i składniki</w:t>
            </w:r>
          </w:p>
        </w:tc>
        <w:tc>
          <w:tcPr>
            <w:tcW w:w="2389" w:type="pct"/>
          </w:tcPr>
          <w:p w14:paraId="0C3B09C7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Klinkier cementu portlandzkiego (K) ≥80%</w:t>
            </w:r>
          </w:p>
          <w:p w14:paraId="4FF2DA81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Wapeń</w:t>
            </w:r>
            <w:proofErr w:type="spellEnd"/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 (LL) ≥10</w:t>
            </w: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%</w:t>
            </w:r>
          </w:p>
          <w:p w14:paraId="32B55E15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Składniki drugorzędne ≤5</w:t>
            </w: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050" w:type="pct"/>
            <w:vMerge w:val="restart"/>
            <w:vAlign w:val="center"/>
          </w:tcPr>
          <w:p w14:paraId="72E70F96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EN 197-1:2011</w:t>
            </w:r>
          </w:p>
        </w:tc>
      </w:tr>
      <w:tr w:rsidR="00A277C1" w:rsidRPr="00A277C1" w14:paraId="73F1F862" w14:textId="77777777" w:rsidTr="00D82890">
        <w:tc>
          <w:tcPr>
            <w:tcW w:w="1562" w:type="pct"/>
          </w:tcPr>
          <w:p w14:paraId="3831C82B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Wytrzymałość na ściskanie:</w:t>
            </w:r>
          </w:p>
          <w:p w14:paraId="68D8FB7A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(wczesna i normowa)</w:t>
            </w:r>
          </w:p>
        </w:tc>
        <w:tc>
          <w:tcPr>
            <w:tcW w:w="2389" w:type="pct"/>
          </w:tcPr>
          <w:p w14:paraId="673459B3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Klasa wytrzymałości 52,5R</w:t>
            </w:r>
          </w:p>
          <w:p w14:paraId="5E6214D2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Wczesna po 2 dniach </w:t>
            </w: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 xml:space="preserve">≥ 30,0 </w:t>
            </w:r>
            <w:proofErr w:type="spellStart"/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MPa</w:t>
            </w:r>
            <w:proofErr w:type="spellEnd"/>
          </w:p>
          <w:p w14:paraId="73C5B299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Normowa po 28 dniach </w:t>
            </w: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 xml:space="preserve">≥ 52,5 </w:t>
            </w:r>
            <w:proofErr w:type="spellStart"/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MPa</w:t>
            </w:r>
            <w:proofErr w:type="spellEnd"/>
          </w:p>
        </w:tc>
        <w:tc>
          <w:tcPr>
            <w:tcW w:w="1050" w:type="pct"/>
            <w:vMerge/>
          </w:tcPr>
          <w:p w14:paraId="02619085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277C1" w:rsidRPr="00A277C1" w14:paraId="3C04D13A" w14:textId="77777777" w:rsidTr="00D82890">
        <w:tc>
          <w:tcPr>
            <w:tcW w:w="1562" w:type="pct"/>
          </w:tcPr>
          <w:p w14:paraId="24D2BF0B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Czas wiązania</w:t>
            </w:r>
          </w:p>
        </w:tc>
        <w:tc>
          <w:tcPr>
            <w:tcW w:w="2389" w:type="pct"/>
          </w:tcPr>
          <w:p w14:paraId="43F7C1B8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≥ 45 min (początek)</w:t>
            </w:r>
          </w:p>
        </w:tc>
        <w:tc>
          <w:tcPr>
            <w:tcW w:w="1050" w:type="pct"/>
            <w:vMerge/>
          </w:tcPr>
          <w:p w14:paraId="12CF7694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277C1" w:rsidRPr="00A277C1" w14:paraId="290A1D0A" w14:textId="77777777" w:rsidTr="00D82890">
        <w:tc>
          <w:tcPr>
            <w:tcW w:w="1562" w:type="pct"/>
          </w:tcPr>
          <w:p w14:paraId="1FDB6029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Stałość objętości:</w:t>
            </w:r>
          </w:p>
          <w:p w14:paraId="3E04C050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 - rozszerzalność</w:t>
            </w:r>
          </w:p>
          <w:p w14:paraId="57529879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 xml:space="preserve"> - zawartość SO3</w:t>
            </w:r>
          </w:p>
        </w:tc>
        <w:tc>
          <w:tcPr>
            <w:tcW w:w="2389" w:type="pct"/>
          </w:tcPr>
          <w:p w14:paraId="16B04AE0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</w:pPr>
          </w:p>
          <w:p w14:paraId="043542F4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≤ 10 mm</w:t>
            </w: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br/>
              <w:t>≤ 4,0 %</w:t>
            </w:r>
          </w:p>
        </w:tc>
        <w:tc>
          <w:tcPr>
            <w:tcW w:w="1050" w:type="pct"/>
            <w:vMerge/>
          </w:tcPr>
          <w:p w14:paraId="0A563A60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277C1" w:rsidRPr="00A277C1" w14:paraId="773C6D74" w14:textId="77777777" w:rsidTr="00D82890">
        <w:tc>
          <w:tcPr>
            <w:tcW w:w="1562" w:type="pct"/>
          </w:tcPr>
          <w:p w14:paraId="0408C9E6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sz w:val="20"/>
                <w:szCs w:val="20"/>
              </w:rPr>
              <w:t>Zawartość chlorków</w:t>
            </w:r>
          </w:p>
        </w:tc>
        <w:tc>
          <w:tcPr>
            <w:tcW w:w="2389" w:type="pct"/>
          </w:tcPr>
          <w:p w14:paraId="6036380C" w14:textId="77777777" w:rsidR="00A277C1" w:rsidRPr="00A277C1" w:rsidRDefault="00A277C1" w:rsidP="00D8289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277C1">
              <w:rPr>
                <w:rFonts w:asciiTheme="majorHAnsi" w:hAnsiTheme="majorHAnsi" w:cstheme="majorHAnsi"/>
                <w:color w:val="202124"/>
                <w:sz w:val="20"/>
                <w:szCs w:val="20"/>
                <w:shd w:val="clear" w:color="auto" w:fill="FFFFFF"/>
              </w:rPr>
              <w:t>≤ 0,10 %</w:t>
            </w:r>
          </w:p>
        </w:tc>
        <w:tc>
          <w:tcPr>
            <w:tcW w:w="1050" w:type="pct"/>
            <w:vMerge/>
          </w:tcPr>
          <w:p w14:paraId="1B1106BE" w14:textId="77777777" w:rsidR="00A277C1" w:rsidRPr="00A277C1" w:rsidRDefault="00A277C1" w:rsidP="00D828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43FF173" w14:textId="77777777" w:rsidR="00A277C1" w:rsidRPr="00A277C1" w:rsidRDefault="00A277C1" w:rsidP="00A277C1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290DC5E0" w14:textId="4C3EF372" w:rsidR="00114622" w:rsidRPr="00A277C1" w:rsidRDefault="00A277C1" w:rsidP="00114622">
      <w:pPr>
        <w:jc w:val="both"/>
        <w:rPr>
          <w:rFonts w:asciiTheme="majorHAnsi" w:hAnsiTheme="majorHAnsi" w:cstheme="majorHAnsi"/>
          <w:sz w:val="20"/>
          <w:szCs w:val="20"/>
        </w:rPr>
      </w:pPr>
      <w:r w:rsidRPr="00A277C1">
        <w:rPr>
          <w:rFonts w:asciiTheme="majorHAnsi" w:hAnsiTheme="majorHAnsi" w:cstheme="majorHAnsi"/>
          <w:sz w:val="20"/>
          <w:szCs w:val="20"/>
        </w:rPr>
        <w:t>Parametry materiału spełniające wytyczne specyfikacji technicznej wg EN 197-1:2011.</w:t>
      </w:r>
    </w:p>
    <w:p w14:paraId="05B0EF5C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Zakupione kruszywo będzie wykorzystywana przez firmę Pekabex Bet S.A., pod adresem:</w:t>
      </w:r>
    </w:p>
    <w:p w14:paraId="6FDB433B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Pekabex Bet S.A.</w:t>
      </w:r>
    </w:p>
    <w:p w14:paraId="49AF3215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Ul. Grójecka 19, </w:t>
      </w:r>
    </w:p>
    <w:p w14:paraId="61212F03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Badowo-Mściska, </w:t>
      </w:r>
    </w:p>
    <w:p w14:paraId="511568B2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96-320 Mszczonów</w:t>
      </w:r>
    </w:p>
    <w:p w14:paraId="1DBD7539" w14:textId="77777777" w:rsidR="00937744" w:rsidRPr="00B471CE" w:rsidRDefault="00937744" w:rsidP="00937744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Osoba kontaktowa:</w:t>
      </w:r>
    </w:p>
    <w:p w14:paraId="1D13B075" w14:textId="3D5E5001" w:rsidR="00C61B8E" w:rsidRDefault="00937744" w:rsidP="00937744">
      <w:pPr>
        <w:jc w:val="both"/>
        <w:rPr>
          <w:rFonts w:asciiTheme="majorHAnsi" w:hAnsiTheme="majorHAnsi" w:cstheme="majorHAnsi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Agata Malak (mail: </w:t>
      </w:r>
      <w:r w:rsidRPr="00B471CE">
        <w:rPr>
          <w:rFonts w:asciiTheme="majorHAnsi" w:hAnsiTheme="majorHAnsi" w:cstheme="majorHAnsi"/>
          <w:sz w:val="18"/>
        </w:rPr>
        <w:t>agata.malak@pekabex.com</w:t>
      </w:r>
      <w:r w:rsidRPr="00B471CE">
        <w:rPr>
          <w:rFonts w:asciiTheme="majorHAnsi" w:hAnsiTheme="majorHAnsi" w:cstheme="majorHAnsi"/>
          <w:sz w:val="20"/>
          <w:szCs w:val="24"/>
        </w:rPr>
        <w:t xml:space="preserve">) </w:t>
      </w:r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……………………………………………….</w:t>
            </w:r>
            <w:r w:rsidRPr="00B471CE">
              <w:rPr>
                <w:rFonts w:asciiTheme="majorHAnsi" w:hAnsiTheme="majorHAnsi" w:cstheme="majorHAnsi"/>
                <w:sz w:val="20"/>
              </w:rPr>
              <w:tab/>
            </w:r>
          </w:p>
          <w:p w14:paraId="6D489476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Pr="00B471CE" w:rsidRDefault="00393654" w:rsidP="00187EF7">
            <w:pPr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………………………………………………………</w:t>
            </w:r>
          </w:p>
          <w:p w14:paraId="506CC25C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 xml:space="preserve">Podpis upoważnionego </w:t>
            </w:r>
          </w:p>
          <w:p w14:paraId="77692593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60747" w14:textId="77777777" w:rsidR="00C862B6" w:rsidRDefault="00C862B6" w:rsidP="009557B5">
      <w:pPr>
        <w:spacing w:after="0" w:line="240" w:lineRule="auto"/>
      </w:pPr>
      <w:r>
        <w:separator/>
      </w:r>
    </w:p>
  </w:endnote>
  <w:endnote w:type="continuationSeparator" w:id="0">
    <w:p w14:paraId="7CBF0BD8" w14:textId="77777777" w:rsidR="00C862B6" w:rsidRDefault="00C862B6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B2F8B" w14:textId="77777777" w:rsidR="00C862B6" w:rsidRDefault="00C862B6" w:rsidP="009557B5">
      <w:pPr>
        <w:spacing w:after="0" w:line="240" w:lineRule="auto"/>
      </w:pPr>
      <w:r>
        <w:separator/>
      </w:r>
    </w:p>
  </w:footnote>
  <w:footnote w:type="continuationSeparator" w:id="0">
    <w:p w14:paraId="3A10578C" w14:textId="77777777" w:rsidR="00C862B6" w:rsidRDefault="00C862B6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51C4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14622"/>
    <w:rsid w:val="001275C7"/>
    <w:rsid w:val="001302F9"/>
    <w:rsid w:val="0013146B"/>
    <w:rsid w:val="00135DB4"/>
    <w:rsid w:val="00136224"/>
    <w:rsid w:val="00144129"/>
    <w:rsid w:val="00152282"/>
    <w:rsid w:val="001544A0"/>
    <w:rsid w:val="00156A8E"/>
    <w:rsid w:val="001571A1"/>
    <w:rsid w:val="001702B4"/>
    <w:rsid w:val="00171CDF"/>
    <w:rsid w:val="00171CE8"/>
    <w:rsid w:val="00175D47"/>
    <w:rsid w:val="00196488"/>
    <w:rsid w:val="001A0A17"/>
    <w:rsid w:val="001A206A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2675C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150E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12D9E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C2EE9"/>
    <w:rsid w:val="006D74AA"/>
    <w:rsid w:val="006E7BE7"/>
    <w:rsid w:val="00701C78"/>
    <w:rsid w:val="0070360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3116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277C1"/>
    <w:rsid w:val="00A33A08"/>
    <w:rsid w:val="00A33A0A"/>
    <w:rsid w:val="00A35B22"/>
    <w:rsid w:val="00A36724"/>
    <w:rsid w:val="00A64040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5AC0"/>
    <w:rsid w:val="00B4635B"/>
    <w:rsid w:val="00B46EF4"/>
    <w:rsid w:val="00B471CE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862B6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71263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B5935"/>
    <w:rsid w:val="00EC40BE"/>
    <w:rsid w:val="00EC5597"/>
    <w:rsid w:val="00EC569F"/>
    <w:rsid w:val="00ED1BE4"/>
    <w:rsid w:val="00ED202F"/>
    <w:rsid w:val="00ED7D7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9C2A47-DA27-49F8-BB78-9AAE6E07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43</cp:revision>
  <cp:lastPrinted>2021-03-16T06:13:00Z</cp:lastPrinted>
  <dcterms:created xsi:type="dcterms:W3CDTF">2022-02-21T13:51:00Z</dcterms:created>
  <dcterms:modified xsi:type="dcterms:W3CDTF">2026-04-29T12:26:00Z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